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 27 de julio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pStyle w:val="Ttulo3"/>
        <w:rPr>
          <w:rFonts w:ascii="Verdana" w:hAnsi="Verdana"/>
          <w:sz w:val="52"/>
          <w:szCs w:val="52"/>
        </w:rPr>
      </w:pPr>
      <w:r>
        <w:rPr>
          <w:rFonts w:ascii="Verdana" w:hAnsi="Verdana"/>
          <w:sz w:val="52"/>
          <w:szCs w:val="52"/>
        </w:rPr>
        <w:t>El municipio eligió a las diferentes Reinas de sus Fiestas Patronales 2022</w:t>
      </w:r>
    </w:p>
    <w:p>
      <w:pPr>
        <w:pStyle w:val="Ttulo3"/>
        <w:rPr>
          <w:rFonts w:ascii="Verdana" w:hAnsi="Verdana"/>
          <w:sz w:val="32"/>
          <w:szCs w:val="32"/>
        </w:rPr>
      </w:pPr>
      <w:r>
        <w:rPr>
          <w:rFonts w:ascii="Verdana" w:hAnsi="Verdana"/>
          <w:sz w:val="32"/>
          <w:szCs w:val="32"/>
        </w:rPr>
        <w:t>El certamen se desarrolló el pasado sábado 23 de julio</w:t>
      </w:r>
    </w:p>
    <w:p>
      <w:pPr>
        <w:pStyle w:val="Ttulo3"/>
        <w:jc w:val="both"/>
        <w:rPr>
          <w:rFonts w:ascii="Verdana" w:hAnsi="Verdana"/>
          <w:b w:val="0"/>
          <w:sz w:val="28"/>
          <w:szCs w:val="28"/>
        </w:rPr>
      </w:pPr>
      <w:r>
        <w:rPr>
          <w:rFonts w:ascii="Verdana" w:hAnsi="Verdana"/>
          <w:b w:val="0"/>
          <w:sz w:val="28"/>
          <w:szCs w:val="28"/>
        </w:rPr>
        <w:t>El municipio de Santiago del Teide eligió, recientemente, a las diferentes Reinas de las Fiestas Patronales en honor a Santiago Apóstol 2022 en un acto que acogió de manera excepcional los tres certámenes en liza en uno solo dado que durante dos días se aplazaron dos concursos de reina por el incendio acaecido en Los Realejos y cuyo humo reinante dificultaba dichas celebraciones.</w:t>
      </w:r>
    </w:p>
    <w:p>
      <w:pPr>
        <w:pStyle w:val="Ttulo3"/>
        <w:jc w:val="both"/>
        <w:rPr>
          <w:rFonts w:ascii="Verdana" w:hAnsi="Verdana"/>
          <w:b w:val="0"/>
          <w:sz w:val="28"/>
          <w:szCs w:val="28"/>
        </w:rPr>
      </w:pPr>
      <w:r>
        <w:rPr>
          <w:rFonts w:ascii="Verdana" w:hAnsi="Verdana"/>
          <w:b w:val="0"/>
          <w:sz w:val="28"/>
          <w:szCs w:val="28"/>
        </w:rPr>
        <w:t xml:space="preserve">Por lo tanto, en un solo certamen se eligieron a las Reinas Infantil, Adulta y Gran Dama de las Fiestas Patronales en honor a Santiago Apóstol 2022 en una gala dirigida por William Luis Alonso que contó con la actuación de la Escuela de Música de Santiago del Teide, el humor de Kike Pérez y la cantante Roko, ganadora de la 2ª edición del programa televisivo "Tu Cara Me Suena".   </w:t>
      </w:r>
    </w:p>
    <w:p>
      <w:pPr>
        <w:pStyle w:val="Ttulo3"/>
        <w:jc w:val="both"/>
        <w:rPr>
          <w:rFonts w:ascii="Verdana" w:hAnsi="Verdana"/>
          <w:b w:val="0"/>
          <w:sz w:val="28"/>
          <w:szCs w:val="28"/>
        </w:rPr>
      </w:pPr>
      <w:r>
        <w:rPr>
          <w:rFonts w:ascii="Verdana" w:hAnsi="Verdana"/>
          <w:b w:val="0"/>
          <w:sz w:val="28"/>
          <w:szCs w:val="28"/>
        </w:rPr>
        <w:t>Tras la deliberación del jurado, el resultado fue el siguiente:</w:t>
      </w:r>
    </w:p>
    <w:p>
      <w:pPr>
        <w:pStyle w:val="Ttulo3"/>
        <w:jc w:val="both"/>
        <w:rPr>
          <w:rFonts w:ascii="Verdana" w:hAnsi="Verdana"/>
          <w:sz w:val="28"/>
          <w:szCs w:val="28"/>
        </w:rPr>
      </w:pPr>
      <w:r>
        <w:rPr>
          <w:rFonts w:ascii="Verdana" w:hAnsi="Verdana"/>
          <w:sz w:val="28"/>
          <w:szCs w:val="28"/>
        </w:rPr>
        <w:t xml:space="preserve">Reina Infantil: Millaray Pérez Vázquez. </w:t>
      </w:r>
    </w:p>
    <w:p>
      <w:pPr>
        <w:jc w:val="both"/>
        <w:rPr>
          <w:rFonts w:ascii="Verdana" w:hAnsi="Verdana"/>
          <w:b/>
          <w:sz w:val="28"/>
          <w:szCs w:val="28"/>
        </w:rPr>
      </w:pPr>
      <w:r>
        <w:rPr>
          <w:rFonts w:ascii="Verdana" w:hAnsi="Verdana"/>
          <w:b/>
          <w:sz w:val="28"/>
          <w:szCs w:val="28"/>
        </w:rPr>
        <w:t>Reina Adulta: Esmeralda Barrios Jiménez.</w:t>
      </w:r>
    </w:p>
    <w:p>
      <w:pPr>
        <w:jc w:val="both"/>
        <w:rPr>
          <w:rFonts w:ascii="Verdana" w:hAnsi="Verdana"/>
          <w:b/>
          <w:sz w:val="28"/>
          <w:szCs w:val="28"/>
        </w:rPr>
      </w:pPr>
    </w:p>
    <w:p>
      <w:pPr>
        <w:jc w:val="both"/>
        <w:rPr>
          <w:rFonts w:ascii="Verdana" w:hAnsi="Verdana"/>
          <w:b/>
          <w:sz w:val="28"/>
          <w:szCs w:val="28"/>
        </w:rPr>
      </w:pPr>
      <w:r>
        <w:rPr>
          <w:rFonts w:ascii="Verdana" w:hAnsi="Verdana"/>
          <w:b/>
          <w:sz w:val="28"/>
          <w:szCs w:val="28"/>
        </w:rPr>
        <w:t xml:space="preserve">Gran Dama: Ángeles Rosa Sánchez Rodríguez </w:t>
      </w:r>
    </w:p>
    <w:p>
      <w:pPr>
        <w:jc w:val="both"/>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175</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2022-07-27T07:18:00Z</dcterms:created>
  <dcterms:modified xsi:type="dcterms:W3CDTF">2022-07-27T07:18:00Z</dcterms:modified>
</cp:coreProperties>
</file>